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914400</wp:posOffset>
                </wp:positionH>
                <wp:positionV relativeFrom="margin">
                  <wp:posOffset>873125</wp:posOffset>
                </wp:positionV>
                <wp:extent cx="6286500" cy="8320405"/>
                <wp:effectExtent b="0" l="0" r="0" t="0"/>
                <wp:wrapNone/>
                <wp:docPr id="11"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5" name="Shape 5"/>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914400</wp:posOffset>
                </wp:positionH>
                <wp:positionV relativeFrom="margin">
                  <wp:posOffset>873125</wp:posOffset>
                </wp:positionV>
                <wp:extent cx="6286500" cy="8320405"/>
                <wp:effectExtent b="0" l="0" r="0" t="0"/>
                <wp:wrapNone/>
                <wp:docPr id="1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96524</wp:posOffset>
            </wp:positionH>
            <wp:positionV relativeFrom="paragraph">
              <wp:posOffset>1698625</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RM6306 Water Wastewater and Ancillary Services (3). It summarises the main features of the procurement and includes CCS and the Supplier’s contact details.</w:t>
      </w:r>
    </w:p>
    <w:tbl>
      <w:tblPr>
        <w:tblStyle w:val="Table1"/>
        <w:tblW w:w="1050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5"/>
        <w:gridCol w:w="2540"/>
        <w:gridCol w:w="7526"/>
        <w:tblGridChange w:id="0">
          <w:tblGrid>
            <w:gridCol w:w="435"/>
            <w:gridCol w:w="2540"/>
            <w:gridCol w:w="7526"/>
          </w:tblGrid>
        </w:tblGridChange>
      </w:tblGrid>
      <w:tr>
        <w:trPr>
          <w:cantSplit w:val="0"/>
          <w:trHeight w:val="2002" w:hRule="atLeast"/>
          <w:tblHeader w:val="0"/>
        </w:trPr>
        <w:tc>
          <w:tcPr/>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2674" w:hRule="atLeast"/>
          <w:tblHeader w:val="0"/>
        </w:trPr>
        <w:tc>
          <w:tcPr/>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w:t>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w:t>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w:t>
                  </w:r>
                </w:p>
              </w:tc>
            </w:tr>
            <w:tr>
              <w:trPr>
                <w:cantSplit w:val="0"/>
                <w:trHeight w:val="619" w:hRule="atLeast"/>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w:t>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cantSplit w:val="0"/>
          <w:trHeight w:val="5988" w:hRule="atLeast"/>
          <w:tblHeader w:val="0"/>
        </w:trPr>
        <w:tc>
          <w:tcPr/>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   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in Lot(s) . You cannot deliver in any other Lot under this contract. Any references made to other Lots in this contract do not apply.</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white"/>
                <w:rtl w:val="0"/>
              </w:rPr>
              <w:t xml:space="preserve">2024/S000-000342</w:t>
            </w:r>
            <w:r w:rsidDel="00000000" w:rsidR="00000000" w:rsidRPr="00000000">
              <w:rPr>
                <w:rFonts w:ascii="Arial" w:cs="Arial" w:eastAsia="Arial" w:hAnsi="Arial"/>
                <w:color w:val="000000"/>
                <w:sz w:val="24"/>
                <w:szCs w:val="24"/>
                <w:rtl w:val="0"/>
              </w:rPr>
              <w:t xml:space="preserve"> (FTS Contract Notice).</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1E">
            <w:pPr>
              <w:rPr>
                <w:rFonts w:ascii="Arial" w:cs="Arial" w:eastAsia="Arial" w:hAnsi="Arial"/>
                <w:sz w:val="24"/>
                <w:szCs w:val="24"/>
                <w:highlight w:val="yellow"/>
              </w:rPr>
            </w:pPr>
            <w:r w:rsidDel="00000000" w:rsidR="00000000" w:rsidRPr="00000000">
              <w:rPr>
                <w:rtl w:val="0"/>
              </w:rPr>
            </w:r>
          </w:p>
        </w:tc>
      </w:tr>
      <w:tr>
        <w:trPr>
          <w:cantSplit w:val="0"/>
          <w:trHeight w:val="689" w:hRule="atLeast"/>
          <w:tblHeader w:val="0"/>
        </w:trPr>
        <w:tc>
          <w:tcPr/>
          <w:p w:rsidR="00000000" w:rsidDel="00000000" w:rsidP="00000000" w:rsidRDefault="00000000" w:rsidRPr="00000000" w14:paraId="0000001F">
            <w:pPr>
              <w:keepNext w:val="1"/>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677" w:hRule="atLeast"/>
          <w:tblHeader w:val="0"/>
        </w:trPr>
        <w:tc>
          <w:tcPr/>
          <w:p w:rsidR="00000000" w:rsidDel="00000000" w:rsidP="00000000" w:rsidRDefault="00000000" w:rsidRPr="00000000" w14:paraId="00000024">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09/07/2024 </w:t>
            </w:r>
            <w:r w:rsidDel="00000000" w:rsidR="00000000" w:rsidRPr="00000000">
              <w:rPr>
                <w:rtl w:val="0"/>
              </w:rPr>
            </w:r>
          </w:p>
        </w:tc>
      </w:tr>
      <w:tr>
        <w:trPr>
          <w:cantSplit w:val="0"/>
          <w:trHeight w:val="562" w:hRule="atLeast"/>
          <w:tblHeader w:val="0"/>
        </w:trPr>
        <w:tc>
          <w:tcPr/>
          <w:p w:rsidR="00000000" w:rsidDel="00000000" w:rsidP="00000000" w:rsidRDefault="00000000" w:rsidRPr="00000000" w14:paraId="00000029">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C">
            <w:pPr>
              <w:spacing w:after="0" w:lineRule="auto"/>
              <w:ind w:right="936"/>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08/07/2028</w:t>
            </w:r>
            <w:r w:rsidDel="00000000" w:rsidR="00000000" w:rsidRPr="00000000">
              <w:rPr>
                <w:rtl w:val="0"/>
              </w:rPr>
            </w:r>
          </w:p>
        </w:tc>
      </w:tr>
      <w:tr>
        <w:trPr>
          <w:cantSplit w:val="0"/>
          <w:trHeight w:val="698" w:hRule="atLeast"/>
          <w:tblHeader w:val="0"/>
        </w:trPr>
        <w:tc>
          <w:tcPr/>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2">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r>
      <w:tr>
        <w:trPr>
          <w:cantSplit w:val="0"/>
          <w:trHeight w:val="5988" w:hRule="atLeast"/>
          <w:tblHeader w:val="0"/>
        </w:trPr>
        <w:tc>
          <w:tcPr/>
          <w:p w:rsidR="00000000" w:rsidDel="00000000" w:rsidP="00000000" w:rsidRDefault="00000000" w:rsidRPr="00000000" w14:paraId="0000003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 only </w:t>
            </w:r>
          </w:p>
          <w:p w:rsidR="00000000" w:rsidDel="00000000" w:rsidP="00000000" w:rsidRDefault="00000000" w:rsidRPr="00000000" w14:paraId="00000037">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8">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9">
            <w:pPr>
              <w:spacing w:after="0" w:lineRule="auto"/>
              <w:ind w:right="936"/>
              <w:rPr>
                <w:rFonts w:ascii="Arial" w:cs="Arial" w:eastAsia="Arial" w:hAnsi="Arial"/>
                <w:sz w:val="24"/>
                <w:szCs w:val="24"/>
              </w:rPr>
            </w:pPr>
            <w:r w:rsidDel="00000000" w:rsidR="00000000" w:rsidRPr="00000000">
              <w:rPr>
                <w:rtl w:val="0"/>
              </w:rPr>
            </w:r>
          </w:p>
        </w:tc>
      </w:tr>
      <w:tr>
        <w:trPr>
          <w:cantSplit w:val="0"/>
          <w:trHeight w:val="5651" w:hRule="atLeast"/>
          <w:tblHeader w:val="0"/>
        </w:trPr>
        <w:tc>
          <w:tcPr/>
          <w:p w:rsidR="00000000" w:rsidDel="00000000" w:rsidP="00000000" w:rsidRDefault="00000000" w:rsidRPr="00000000" w14:paraId="0000003A">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4E">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0">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RM6306</w:t>
            </w:r>
          </w:p>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RM6306</w:t>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RM6306:</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 xml:space="preserve"> </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tab/>
              <w:tab/>
              <w:tab/>
              <w:tab/>
            </w:r>
          </w:p>
          <w:p w:rsidR="00000000" w:rsidDel="00000000" w:rsidP="00000000" w:rsidRDefault="00000000" w:rsidRPr="00000000" w14:paraId="0000006D">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6E">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6F">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0">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1">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2">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3">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77">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79">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RM6306</w:t>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RM6306 as long as any part of the Framework Tender that offers a better commercial position for CCS or Buyers (as decided by CCS) take precedence over the documents above </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812" w:hRule="atLeast"/>
          <w:tblHeader w:val="0"/>
        </w:trPr>
        <w:tc>
          <w:tcPr/>
          <w:p w:rsidR="00000000" w:rsidDel="00000000" w:rsidP="00000000" w:rsidRDefault="00000000" w:rsidRPr="00000000" w14:paraId="0000007D">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1">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973" w:hRule="atLeast"/>
          <w:tblHeader w:val="0"/>
        </w:trPr>
        <w:tc>
          <w:tcPr/>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8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673" w:hRule="atLeast"/>
          <w:tblHeader w:val="0"/>
        </w:trPr>
        <w:tc>
          <w:tcPr/>
          <w:p w:rsidR="00000000" w:rsidDel="00000000" w:rsidP="00000000" w:rsidRDefault="00000000" w:rsidRPr="00000000" w14:paraId="00000085">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4658" w:hRule="atLeast"/>
          <w:tblHeader w:val="0"/>
        </w:trPr>
        <w:tc>
          <w:tcPr/>
          <w:p w:rsidR="00000000" w:rsidDel="00000000" w:rsidP="00000000" w:rsidRDefault="00000000" w:rsidRPr="00000000" w14:paraId="00000088">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Certificate (or equivalent). Details in Framework Schedule 9 (Cyber Essentials Scheme).</w:t>
            </w:r>
          </w:p>
        </w:tc>
      </w:tr>
      <w:tr>
        <w:trPr>
          <w:cantSplit w:val="0"/>
          <w:trHeight w:val="4800" w:hRule="atLeast"/>
          <w:tblHeader w:val="0"/>
        </w:trPr>
        <w:tc>
          <w:tcPr/>
          <w:p w:rsidR="00000000" w:rsidDel="00000000" w:rsidP="00000000" w:rsidRDefault="00000000" w:rsidRPr="00000000" w14:paraId="0000008C">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8E">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w:t>
            </w:r>
          </w:p>
          <w:p w:rsidR="00000000" w:rsidDel="00000000" w:rsidP="00000000" w:rsidRDefault="00000000" w:rsidRPr="00000000" w14:paraId="0000008F">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Deliverables as stated in Lot 1 Supply of Water and Wastewater: 1% of the retail margin for the Deliverables invoiced to the Buyer under all Call-Off Contracts;</w:t>
            </w:r>
          </w:p>
          <w:p w:rsidR="00000000" w:rsidDel="00000000" w:rsidP="00000000" w:rsidRDefault="00000000" w:rsidRPr="00000000" w14:paraId="00000090">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Deliverables as stated in Lot 2 Ancillary Services: 1% of the total charge per ancillary service that is being bid for; and</w:t>
            </w:r>
          </w:p>
          <w:p w:rsidR="00000000" w:rsidDel="00000000" w:rsidP="00000000" w:rsidRDefault="00000000" w:rsidRPr="00000000" w14:paraId="0000009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Deliverables as stated in Lot 3 One Stop Shop: a combination of Lot 1 and Lot 2 Management Charge application, </w:t>
            </w:r>
          </w:p>
          <w:p w:rsidR="00000000" w:rsidDel="00000000" w:rsidP="00000000" w:rsidRDefault="00000000" w:rsidRPr="00000000" w14:paraId="0000009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all the Charges for the Deliverables invoiced to the Buyer under all Call-Off Contracts.</w:t>
            </w:r>
          </w:p>
        </w:tc>
      </w:tr>
      <w:tr>
        <w:trPr>
          <w:cantSplit w:val="0"/>
          <w:trHeight w:val="1976" w:hRule="atLeast"/>
          <w:tblHeader w:val="0"/>
        </w:trPr>
        <w:tc>
          <w:tcPr/>
          <w:p w:rsidR="00000000" w:rsidDel="00000000" w:rsidP="00000000" w:rsidRDefault="00000000" w:rsidRPr="00000000" w14:paraId="0000009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97">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Redacted under FOIA section 40, Personal Information</w:t>
            </w:r>
          </w:p>
          <w:p w:rsidR="00000000" w:rsidDel="00000000" w:rsidP="00000000" w:rsidRDefault="00000000" w:rsidRPr="00000000" w14:paraId="00000098">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Redacted under FOIA section 40, Personal Information</w:t>
            </w:r>
          </w:p>
          <w:p w:rsidR="00000000" w:rsidDel="00000000" w:rsidP="00000000" w:rsidRDefault="00000000" w:rsidRPr="00000000" w14:paraId="00000099">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Redacted under FOIA section 40, Personal Information</w:t>
            </w:r>
          </w:p>
          <w:p w:rsidR="00000000" w:rsidDel="00000000" w:rsidP="00000000" w:rsidRDefault="00000000" w:rsidRPr="00000000" w14:paraId="0000009A">
            <w:pPr>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Redacted under FOIA section 40, Personal Information</w:t>
            </w:r>
            <w:r w:rsidDel="00000000" w:rsidR="00000000" w:rsidRPr="00000000">
              <w:rPr>
                <w:rtl w:val="0"/>
              </w:rPr>
            </w:r>
          </w:p>
        </w:tc>
      </w:tr>
      <w:tr>
        <w:trPr>
          <w:cantSplit w:val="0"/>
          <w:trHeight w:val="1951" w:hRule="atLeast"/>
          <w:tblHeader w:val="0"/>
        </w:trPr>
        <w:tc>
          <w:tcPr/>
          <w:p w:rsidR="00000000" w:rsidDel="00000000" w:rsidP="00000000" w:rsidRDefault="00000000" w:rsidRPr="00000000" w14:paraId="0000009B">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A5">
            <w:pPr>
              <w:rPr>
                <w:rFonts w:ascii="Arial" w:cs="Arial" w:eastAsia="Arial" w:hAnsi="Arial"/>
                <w:color w:val="000000"/>
                <w:sz w:val="24"/>
                <w:szCs w:val="24"/>
              </w:rPr>
            </w:pPr>
            <w:r w:rsidDel="00000000" w:rsidR="00000000" w:rsidRPr="00000000">
              <w:rPr>
                <w:rtl w:val="0"/>
              </w:rPr>
            </w:r>
          </w:p>
        </w:tc>
      </w:tr>
      <w:tr>
        <w:trPr>
          <w:cantSplit w:val="0"/>
          <w:trHeight w:val="2523" w:hRule="atLeast"/>
          <w:tblHeader w:val="0"/>
        </w:trPr>
        <w:tc>
          <w:tcPr/>
          <w:p w:rsidR="00000000" w:rsidDel="00000000" w:rsidP="00000000" w:rsidRDefault="00000000" w:rsidRPr="00000000" w14:paraId="000000A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B0">
            <w:pPr>
              <w:rPr>
                <w:rFonts w:ascii="Arial" w:cs="Arial" w:eastAsia="Arial" w:hAnsi="Arial"/>
                <w:sz w:val="24"/>
                <w:szCs w:val="24"/>
              </w:rPr>
            </w:pPr>
            <w:r w:rsidDel="00000000" w:rsidR="00000000" w:rsidRPr="00000000">
              <w:rPr>
                <w:rtl w:val="0"/>
              </w:rPr>
            </w:r>
          </w:p>
        </w:tc>
      </w:tr>
      <w:tr>
        <w:trPr>
          <w:cantSplit w:val="0"/>
          <w:trHeight w:val="2107" w:hRule="atLeast"/>
          <w:tblHeader w:val="0"/>
        </w:trPr>
        <w:tc>
          <w:tcPr/>
          <w:p w:rsidR="00000000" w:rsidDel="00000000" w:rsidP="00000000" w:rsidRDefault="00000000" w:rsidRPr="00000000" w14:paraId="000000B1">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BB">
            <w:pPr>
              <w:rPr>
                <w:rFonts w:ascii="Arial" w:cs="Arial" w:eastAsia="Arial" w:hAnsi="Arial"/>
                <w:sz w:val="24"/>
                <w:szCs w:val="24"/>
              </w:rPr>
            </w:pPr>
            <w:r w:rsidDel="00000000" w:rsidR="00000000" w:rsidRPr="00000000">
              <w:rPr>
                <w:rtl w:val="0"/>
              </w:rPr>
            </w:r>
          </w:p>
        </w:tc>
      </w:tr>
      <w:tr>
        <w:trPr>
          <w:cantSplit w:val="0"/>
          <w:trHeight w:val="691" w:hRule="atLeast"/>
          <w:tblHeader w:val="0"/>
        </w:trPr>
        <w:tc>
          <w:tcPr/>
          <w:p w:rsidR="00000000" w:rsidDel="00000000" w:rsidP="00000000" w:rsidRDefault="00000000" w:rsidRPr="00000000" w14:paraId="000000BC">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BF">
            <w:pPr>
              <w:rPr>
                <w:rFonts w:ascii="Arial" w:cs="Arial" w:eastAsia="Arial" w:hAnsi="Arial"/>
                <w:sz w:val="24"/>
                <w:szCs w:val="24"/>
              </w:rPr>
            </w:pPr>
            <w:r w:rsidDel="00000000" w:rsidR="00000000" w:rsidRPr="00000000">
              <w:rPr>
                <w:rtl w:val="0"/>
              </w:rPr>
            </w:r>
          </w:p>
        </w:tc>
      </w:tr>
      <w:tr>
        <w:trPr>
          <w:cantSplit w:val="0"/>
          <w:trHeight w:val="2254" w:hRule="atLeast"/>
          <w:tblHeader w:val="0"/>
        </w:trPr>
        <w:tc>
          <w:tcPr/>
          <w:p w:rsidR="00000000" w:rsidDel="00000000" w:rsidP="00000000" w:rsidRDefault="00000000" w:rsidRPr="00000000" w14:paraId="000000C0">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CA">
            <w:pPr>
              <w:rPr>
                <w:rFonts w:ascii="Arial" w:cs="Arial" w:eastAsia="Arial" w:hAnsi="Arial"/>
                <w:sz w:val="24"/>
                <w:szCs w:val="24"/>
              </w:rPr>
            </w:pPr>
            <w:r w:rsidDel="00000000" w:rsidR="00000000" w:rsidRPr="00000000">
              <w:rPr>
                <w:rtl w:val="0"/>
              </w:rPr>
            </w:r>
          </w:p>
        </w:tc>
      </w:tr>
      <w:tr>
        <w:trPr>
          <w:cantSplit w:val="0"/>
          <w:trHeight w:val="1178" w:hRule="atLeast"/>
          <w:tblHeader w:val="0"/>
        </w:trPr>
        <w:tc>
          <w:tcPr/>
          <w:p w:rsidR="00000000" w:rsidDel="00000000" w:rsidP="00000000" w:rsidRDefault="00000000" w:rsidRPr="00000000" w14:paraId="000000CB">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CD">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If Applicable - Please see embedded folder within the Framework Contract Documents folder.</w:t>
            </w:r>
            <w:r w:rsidDel="00000000" w:rsidR="00000000" w:rsidRPr="00000000">
              <w:rPr>
                <w:rtl w:val="0"/>
              </w:rPr>
            </w:r>
          </w:p>
        </w:tc>
      </w:tr>
      <w:tr>
        <w:trPr>
          <w:cantSplit w:val="0"/>
          <w:trHeight w:val="2107" w:hRule="atLeast"/>
          <w:tblHeader w:val="0"/>
        </w:trPr>
        <w:tc>
          <w:tcPr/>
          <w:p w:rsidR="00000000" w:rsidDel="00000000" w:rsidP="00000000" w:rsidRDefault="00000000" w:rsidRPr="00000000" w14:paraId="000000C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Representative</w:t>
            </w:r>
          </w:p>
        </w:tc>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9">
            <w:pPr>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p>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2"/>
    <w:bookmarkEnd w:id="2"/>
    <w:p w:rsidR="00000000" w:rsidDel="00000000" w:rsidP="00000000" w:rsidRDefault="00000000" w:rsidRPr="00000000" w14:paraId="000000F6">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FC">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F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0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0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3">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o"/>
      <w:lvlJc w:val="left"/>
      <w:pPr>
        <w:ind w:left="1440" w:hanging="360"/>
      </w:pPr>
      <w:rPr>
        <w:rFonts w:ascii="Courier New" w:cs="Courier New" w:eastAsia="Courier New" w:hAnsi="Courier New"/>
        <w:shd w:fill="auto" w:val="clear"/>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644" w:hanging="357.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tabs>
        <w:tab w:val="left" w:pos="-5585"/>
      </w:tabs>
      <w:spacing w:after="120" w:line="240" w:lineRule="auto"/>
      <w:ind w:left="4590" w:hanging="360"/>
      <w:jc w:val="both"/>
      <w:outlineLvl w:val="4"/>
    </w:pPr>
    <w:rPr>
      <w:rFonts w:ascii="Arial" w:cs="Arial" w:eastAsia="Arial" w:hAnsi="Arial"/>
    </w:rPr>
  </w:style>
  <w:style w:type="paragraph" w:styleId="Heading6">
    <w:name w:val="heading 6"/>
    <w:basedOn w:val="Normal"/>
    <w:next w:val="Normal"/>
    <w:uiPriority w:val="9"/>
    <w:semiHidden w:val="1"/>
    <w:unhideWhenUsed w:val="1"/>
    <w:qFormat w:val="1"/>
    <w:pPr>
      <w:tabs>
        <w:tab w:val="left" w:pos="-8987"/>
        <w:tab w:val="left" w:pos="-8420"/>
      </w:tabs>
      <w:spacing w:after="120" w:line="240" w:lineRule="auto"/>
      <w:ind w:left="4590" w:hanging="360"/>
      <w:jc w:val="both"/>
      <w:outlineLvl w:val="5"/>
    </w:pPr>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NormalWeb">
    <w:name w:val="Normal (Web)"/>
    <w:basedOn w:val="Normal"/>
    <w:uiPriority w:val="99"/>
    <w:semiHidden w:val="1"/>
    <w:unhideWhenUsed w:val="1"/>
    <w:rsid w:val="00F07E5B"/>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W3E2qjcJw8Lz5K4D6rT75FAMXQ==">CgMxLjAyCGguZ2pkZ3hzMgloLjMwajB6bGwyCmlkLjMwajB6bGw4AHIhMTFiU1JEOThMNGYwX0hSN0VWZldseXAyb2lsNzE3NldJ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2024-06-05T06:51:00Z</dcterms:created>
  <dc:creator>Olivia Devaney</dc:creator>
</cp:coreProperties>
</file>